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7C630E09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B77625">
        <w:rPr>
          <w:rFonts w:ascii="Arial" w:hAnsi="Arial" w:cs="Arial"/>
          <w:b/>
        </w:rPr>
        <w:t xml:space="preserve">Pokládka </w:t>
      </w:r>
      <w:r>
        <w:rPr>
          <w:rFonts w:ascii="Arial" w:hAnsi="Arial" w:cs="Arial"/>
          <w:b/>
        </w:rPr>
        <w:t>balené Bělá nad Svitavou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433F00BE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802670" w:rsidRPr="00B77625">
        <w:rPr>
          <w:rFonts w:ascii="Arial" w:hAnsi="Arial" w:cs="Arial"/>
          <w:b/>
        </w:rPr>
        <w:t xml:space="preserve">Pokládka </w:t>
      </w:r>
      <w:r w:rsidR="00802670">
        <w:rPr>
          <w:rFonts w:ascii="Arial" w:hAnsi="Arial" w:cs="Arial"/>
          <w:b/>
        </w:rPr>
        <w:t>balené Bělá nad Svitavou</w:t>
      </w:r>
      <w:r w:rsidR="00802670" w:rsidRPr="00B77625">
        <w:rPr>
          <w:rFonts w:ascii="Arial" w:hAnsi="Arial" w:cs="Arial"/>
          <w:b/>
        </w:rPr>
        <w:t>“</w:t>
      </w:r>
    </w:p>
    <w:p w14:paraId="2025C6DF" w14:textId="008DD773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3</cp:revision>
  <dcterms:created xsi:type="dcterms:W3CDTF">2024-07-11T07:42:00Z</dcterms:created>
  <dcterms:modified xsi:type="dcterms:W3CDTF">2024-07-18T12:44:00Z</dcterms:modified>
</cp:coreProperties>
</file>